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</w:rPr>
        <w:t>发表情况如下：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董继东（16级）：《鸣歌》（外一首）（诗歌），《诗刊》，2019年第10期。【国家级】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董继东（16级）：《在傍晚时分（外四首）》（诗歌），《作品》，2020年第6期。【省级】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陈沁滢（19级）：《父亲的草原》（短篇小说），《作品》，2020年第11期。【省级】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陈纪红（18级）：《草木无心  人间有情》（评论），《羊城晚报》，2020年8月2日A6版。【省级】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石珊玉（18级）：《石珊玉诗选》（诗歌28首），《嘉应文学》，2019年第10期。【市级】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陈月山（18级）：《没有人》（诗歌），《嘉应文学》，2019年第7期。【市级】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黄海鹏（18级）：《云端的战“疫”》（散文），《佛山文艺》，2020年6-7期合刊。【市级】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陈荟羽（19级）：《在战“疫”中成长》（散文），《佛山文艺》，2020年6-7期合刊。【市级】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陈一亮（19级）：《火焰》（小小说），《大亚湾文艺》，2020年第1期。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刘聪宇（19级）：《杨叔的玉米》（小小说），《大亚湾文艺》，2019年第4期。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李境愉（18级）：《李境愉小小说二题》，《大亚湾文艺》，2019年第2期。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黎颖晴（18级）：《一个傻子的故事》（小小说），《大亚湾文艺》，2019年第2期。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李学玲（18级）：《活》（小小说），《大亚湾文艺》，2019年第2期。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黄晓婉（18级）：《斗牛》（小小说），《大亚湾文艺》，2019年第2期。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黄海鹏（18级）：《黄狼》（小小说），《大亚湾文艺》，2019年第2期。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  <w:t>陈皓琪（18级）：《预言之信》（小小说），《大亚湾文艺》，2019年第2期。</w:t>
      </w:r>
    </w:p>
    <w:p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014EC"/>
    <w:rsid w:val="3CE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2020-11-24T06:33:00Z</dcterms:created>
  <dc:creator>yzy961</dc:creator>
  <cp:lastModifiedBy>yzy961</cp:lastModifiedBy>
  <dcterms:modified xsi:type="dcterms:W3CDTF">2020-11-24T06:34:20Z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