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079C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</w:t>
      </w:r>
    </w:p>
    <w:p w14:paraId="66E6FC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color w:val="auto"/>
          <w:sz w:val="40"/>
          <w:szCs w:val="48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40"/>
          <w:szCs w:val="48"/>
          <w:highlight w:val="none"/>
        </w:rPr>
        <w:t>2027年全国硕士研究生招生考试</w:t>
      </w:r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40"/>
          <w:szCs w:val="48"/>
          <w:highlight w:val="none"/>
          <w:lang w:val="en-US" w:eastAsia="zh-CN"/>
        </w:rPr>
        <w:t>惠州学院</w:t>
      </w:r>
    </w:p>
    <w:p w14:paraId="0DAB38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color w:val="auto"/>
          <w:sz w:val="40"/>
          <w:szCs w:val="48"/>
          <w:highlight w:val="none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40"/>
          <w:szCs w:val="48"/>
          <w:highlight w:val="none"/>
        </w:rPr>
        <w:t>报考点（代码44</w:t>
      </w:r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40"/>
          <w:szCs w:val="48"/>
          <w:highlight w:val="none"/>
          <w:lang w:val="en-US" w:eastAsia="zh-CN"/>
        </w:rPr>
        <w:t>37</w:t>
      </w:r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40"/>
          <w:szCs w:val="48"/>
          <w:highlight w:val="none"/>
        </w:rPr>
        <w:t>）报名材料要求</w:t>
      </w:r>
    </w:p>
    <w:p w14:paraId="548FE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</w:p>
    <w:p w14:paraId="502932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根据教育部和广东省教育考试院的工作安排，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惠州学院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报考点（代码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4437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）2027年全国硕士研究生招生考试报名信息审核工作实行网上审核，请考生认真阅读，以便能顺利通过网上报名审核。</w:t>
      </w:r>
    </w:p>
    <w:p w14:paraId="5E4499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网上报名时选择了其他报考点的考生，请及时关注相关报考点的公告信息，按相关报考点的要求办理报名信息审核。</w:t>
      </w:r>
    </w:p>
    <w:p w14:paraId="355E3D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一、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惠州学院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报考点（代码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4437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）报名审核的考生范围</w:t>
      </w:r>
    </w:p>
    <w:p w14:paraId="0A288D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选择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惠州学院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报考点，并已于规定时间内在“中国研究生招生信息网”上完成网上报名及网上缴费，且符合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惠州学院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报考点接受要求（详见公告）的考生。未完成网上报名、交费程序的均属于报名无效，不接受考生补报名或补交报名费。</w:t>
      </w:r>
    </w:p>
    <w:p w14:paraId="263125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二、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惠州学院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报考点（代码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4437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）考生网上报名步骤</w:t>
      </w:r>
    </w:p>
    <w:p w14:paraId="50CF9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（一）考生应在规定时间登录“中国研究生招生信息网”（https://yz.chsi.com.cn/wsqr/stu）参加报名，报名时间为2026年10月15日至10月24日（预报名时间为2026年10月9日至10月12日），每日9:00—22:00。</w:t>
      </w:r>
    </w:p>
    <w:p w14:paraId="73A1BD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系统支持手机端和PC端，建议考生首选PC端进入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报名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系统，也可使用手机直接扫描下面的二维码进入报名系统。</w:t>
      </w:r>
    </w:p>
    <w:p w14:paraId="4CC73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center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color w:val="auto"/>
          <w:position w:val="-45"/>
          <w:highlight w:val="none"/>
        </w:rPr>
        <w:drawing>
          <wp:inline distT="0" distB="0" distL="0" distR="0">
            <wp:extent cx="1445895" cy="1445895"/>
            <wp:effectExtent l="0" t="0" r="1905" b="1905"/>
            <wp:docPr id="15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46276" cy="1446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44D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（二）考生须按要求如实填写报名信息并提供真实材料，积极配合签署《考生诚信考试承诺书》，认真核对并确认本人报名信息。</w:t>
      </w:r>
    </w:p>
    <w:p w14:paraId="62DDCA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（三）认真阅读本报考点公告，并上传报考点相关证明材料，按照提示进行操作即可完成网上报名程序。</w:t>
      </w:r>
    </w:p>
    <w:p w14:paraId="09D836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（四）考生及时关注系统对报名审核结果的反馈提示。</w:t>
      </w:r>
    </w:p>
    <w:p w14:paraId="2D58A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1.系统反馈显示“审核通过”，说明考生已经完成2027年研究生报名信息审核工作。</w:t>
      </w:r>
    </w:p>
    <w:p w14:paraId="68E4F7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2.系统反馈提示“审核不通过”，考生须根据反馈的提示内容，按要求及时补充提交材料，然后及时查看审核结果，确认是否“审核通过”。</w:t>
      </w:r>
    </w:p>
    <w:p w14:paraId="37ABA20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" w:line="240" w:lineRule="auto"/>
        <w:ind w:left="25" w:right="152" w:firstLine="647"/>
        <w:textAlignment w:val="auto"/>
        <w:rPr>
          <w:rFonts w:hint="eastAsia"/>
          <w:color w:val="auto"/>
          <w:spacing w:val="3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3.补充材</w:t>
      </w:r>
      <w:r>
        <w:rPr>
          <w:color w:val="auto"/>
          <w:spacing w:val="-1"/>
          <w:highlight w:val="none"/>
        </w:rPr>
        <w:t>料后，系统仍然反馈“审核不通过”的考</w:t>
      </w:r>
      <w:r>
        <w:rPr>
          <w:color w:val="auto"/>
          <w:spacing w:val="-2"/>
          <w:highlight w:val="none"/>
        </w:rPr>
        <w:t>生，请</w:t>
      </w:r>
      <w:r>
        <w:rPr>
          <w:color w:val="auto"/>
          <w:spacing w:val="8"/>
          <w:highlight w:val="none"/>
        </w:rPr>
        <w:t>在网上审核截止日期前电询</w:t>
      </w:r>
      <w:r>
        <w:rPr>
          <w:rFonts w:hint="eastAsia"/>
          <w:color w:val="auto"/>
          <w:spacing w:val="8"/>
          <w:highlight w:val="none"/>
          <w:lang w:val="en-US" w:eastAsia="zh-CN"/>
        </w:rPr>
        <w:t>惠州学院研究生部</w:t>
      </w:r>
      <w:r>
        <w:rPr>
          <w:color w:val="auto"/>
          <w:spacing w:val="8"/>
          <w:highlight w:val="none"/>
        </w:rPr>
        <w:t>（电话：</w:t>
      </w:r>
      <w:r>
        <w:rPr>
          <w:rFonts w:hint="eastAsia"/>
          <w:color w:val="auto"/>
          <w:spacing w:val="8"/>
          <w:highlight w:val="none"/>
          <w:lang w:val="en-US" w:eastAsia="zh-CN"/>
        </w:rPr>
        <w:t>0752-2529361</w:t>
      </w:r>
      <w:r>
        <w:rPr>
          <w:color w:val="auto"/>
          <w:spacing w:val="-55"/>
          <w:highlight w:val="none"/>
        </w:rPr>
        <w:t>），</w:t>
      </w:r>
      <w:r>
        <w:rPr>
          <w:color w:val="auto"/>
          <w:spacing w:val="3"/>
          <w:highlight w:val="none"/>
        </w:rPr>
        <w:t>并提交材料再次进行网上操</w:t>
      </w:r>
      <w:r>
        <w:rPr>
          <w:color w:val="auto"/>
          <w:highlight w:val="none"/>
        </w:rPr>
        <w:t>作，待系统反馈显示“审核通过”，</w:t>
      </w:r>
      <w:r>
        <w:rPr>
          <w:rFonts w:hint="eastAsia"/>
          <w:color w:val="auto"/>
          <w:spacing w:val="3"/>
          <w:highlight w:val="none"/>
          <w:lang w:val="en-US" w:eastAsia="zh-CN"/>
        </w:rPr>
        <w:t>本次研究生考试报名才算</w:t>
      </w:r>
      <w:r>
        <w:rPr>
          <w:color w:val="auto"/>
          <w:spacing w:val="3"/>
          <w:highlight w:val="none"/>
        </w:rPr>
        <w:t>报名成功</w:t>
      </w:r>
      <w:r>
        <w:rPr>
          <w:rFonts w:hint="eastAsia"/>
          <w:color w:val="auto"/>
          <w:spacing w:val="3"/>
          <w:highlight w:val="none"/>
          <w:lang w:val="en-US" w:eastAsia="zh-CN"/>
        </w:rPr>
        <w:t>。</w:t>
      </w:r>
    </w:p>
    <w:p w14:paraId="7F4E99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三、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惠州学院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报考点（代码44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37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）考生网上报名须上传材料要求</w:t>
      </w:r>
    </w:p>
    <w:p w14:paraId="05E91D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为便于考生提前准备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报名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材料，现将网上报名时考生应上传材料照片的要求公布如下：</w:t>
      </w:r>
    </w:p>
    <w:p w14:paraId="633CAA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学信网APP扫描完成报名照片采集。</w:t>
      </w:r>
    </w:p>
    <w:p w14:paraId="5F676E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本人当前正面、免冠、无妆、彩色电子标准证件照（白色背景），要求详见研招网报名平台。</w:t>
      </w:r>
    </w:p>
    <w:p w14:paraId="22E707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center"/>
        <w:textAlignment w:val="auto"/>
        <w:rPr>
          <w:color w:val="auto"/>
          <w:position w:val="-178"/>
          <w:highlight w:val="none"/>
        </w:rPr>
      </w:pPr>
      <w:r>
        <w:rPr>
          <w:color w:val="auto"/>
          <w:position w:val="-178"/>
          <w:highlight w:val="none"/>
        </w:rPr>
        <w:drawing>
          <wp:inline distT="0" distB="0" distL="0" distR="0">
            <wp:extent cx="2817495" cy="3489325"/>
            <wp:effectExtent l="0" t="0" r="1905" b="3175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17495" cy="348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F6E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2.因身份证核验未通过等，系统显示“有效证件照片“必传”的考生，请按以下要求上传身份证证件照片：</w:t>
      </w:r>
    </w:p>
    <w:p w14:paraId="0CCA7A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本人有效期内身份证原件的正反面照（分正、反面两张上传，请确保身份证边框完整，字迹清晰可见，亮度均匀），JPG格式。</w:t>
      </w:r>
    </w:p>
    <w:p w14:paraId="6022CE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z w:val="24"/>
          <w:szCs w:val="24"/>
          <w:highlight w:val="none"/>
        </w:rPr>
        <w:drawing>
          <wp:inline distT="0" distB="0" distL="114300" distR="114300">
            <wp:extent cx="3347720" cy="2115820"/>
            <wp:effectExtent l="0" t="0" r="5080" b="508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7720" cy="21158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  <w:sz w:val="24"/>
          <w:szCs w:val="24"/>
          <w:highlight w:val="none"/>
        </w:rPr>
        <w:drawing>
          <wp:inline distT="0" distB="0" distL="114300" distR="114300">
            <wp:extent cx="3486785" cy="2178050"/>
            <wp:effectExtent l="0" t="0" r="5715" b="6350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86785" cy="2178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5FB0C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特别提醒：拍摄或上传的照片，均不得化妆，不得佩戴眼镜、隐形眼镜、美瞳拍照；照明光线均匀，脸部无高光、无光斑、无阴影、无红眼等，要真实反映本人近期相貌（不得用翻拍照片，不得使用PS等照片编辑软件处理的照片）。</w:t>
      </w:r>
    </w:p>
    <w:p w14:paraId="66E361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以下选项由考生根据自己报考身份的实际情况如实上传材料照片：</w:t>
      </w:r>
    </w:p>
    <w:p w14:paraId="2D8C0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3</w:t>
      </w:r>
      <w:r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.指定在我报考点报考的202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7</w:t>
      </w:r>
      <w:r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届全日制应届本科毕业考生（含全日制成人高校本科毕业生）可上传学生证或就读学校开具的在读证明。还须上传“中国高等教育学生信息网”的《教育部学籍在线验证报告》。</w:t>
      </w:r>
    </w:p>
    <w:p w14:paraId="66C5D4F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 w:line="21" w:lineRule="atLeast"/>
        <w:ind w:left="0" w:right="0" w:firstLine="0"/>
        <w:jc w:val="center"/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drawing>
          <wp:inline distT="0" distB="0" distL="114300" distR="114300">
            <wp:extent cx="3419475" cy="3819525"/>
            <wp:effectExtent l="0" t="0" r="9525" b="3175"/>
            <wp:docPr id="10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381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47FD2C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21" w:lineRule="atLeast"/>
        <w:ind w:left="0" w:right="0" w:firstLine="640" w:firstLineChars="200"/>
        <w:jc w:val="both"/>
        <w:textAlignment w:val="auto"/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4</w:t>
      </w:r>
      <w:r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.惠州市户籍的应届非全日制成人高校本科毕业生须上传（1）“中国高等教育学生信息网”的《教育部学籍在线验证报告》；（2）户口本首页及个人单页（集体户口仅提供首页及个人单页）。</w:t>
      </w:r>
    </w:p>
    <w:p w14:paraId="41E6A6A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21" w:lineRule="atLeast"/>
        <w:ind w:left="0" w:right="0" w:firstLine="640" w:firstLineChars="200"/>
        <w:jc w:val="both"/>
        <w:textAlignment w:val="auto"/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5</w:t>
      </w:r>
      <w:r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.惠州市户籍未取得毕业证（202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7</w:t>
      </w:r>
      <w:r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年9月1日前取得）的高等教育自学考试本科考生须提供（1）户口本首页及个人单页（集体户口仅提供首页及个人单页）；（2）证明自考考生身份的材料：如准考证、成绩单等。</w:t>
      </w:r>
    </w:p>
    <w:p w14:paraId="4180A48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21" w:lineRule="atLeast"/>
        <w:ind w:left="0" w:right="0" w:firstLine="640" w:firstLineChars="200"/>
        <w:jc w:val="both"/>
        <w:textAlignment w:val="auto"/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6</w:t>
      </w:r>
      <w:r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.惠州市户籍的往届毕业生须提供（1）毕业证书照片（毕业证书丢失的提供“中国高等教育学生信息网”的《教育部学历证书电子注册备案表》或《中国高等教育学历认证报告》）；（2）户口本首页及个人单页（集体户口仅提供首页及个人单页）。</w:t>
      </w:r>
    </w:p>
    <w:p w14:paraId="003B020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 w:line="21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highlight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highlight w:val="none"/>
        </w:rPr>
        <w:drawing>
          <wp:inline distT="0" distB="0" distL="114300" distR="114300">
            <wp:extent cx="5272405" cy="3629025"/>
            <wp:effectExtent l="0" t="0" r="10795" b="3175"/>
            <wp:docPr id="8" name="图片 5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 descr="IMG_25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CDEE67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 w:line="21" w:lineRule="atLeast"/>
        <w:ind w:left="0" w:right="0" w:firstLine="0"/>
        <w:jc w:val="center"/>
        <w:rPr>
          <w:color w:val="auto"/>
          <w:position w:val="-260"/>
          <w:highlight w:val="none"/>
        </w:rPr>
      </w:pPr>
      <w:r>
        <w:rPr>
          <w:color w:val="auto"/>
          <w:position w:val="-260"/>
          <w:highlight w:val="none"/>
        </w:rPr>
        <w:drawing>
          <wp:inline distT="0" distB="0" distL="0" distR="0">
            <wp:extent cx="5678170" cy="8265795"/>
            <wp:effectExtent l="0" t="0" r="11430" b="1905"/>
            <wp:docPr id="12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78423" cy="8266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FACF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 w:line="21" w:lineRule="atLeast"/>
        <w:ind w:left="0" w:right="0" w:firstLine="0"/>
        <w:jc w:val="center"/>
        <w:rPr>
          <w:rFonts w:hint="eastAsia"/>
          <w:color w:val="auto"/>
          <w:position w:val="-260"/>
          <w:highlight w:val="none"/>
        </w:rPr>
      </w:pPr>
      <w:r>
        <w:rPr>
          <w:color w:val="auto"/>
          <w:position w:val="-250"/>
          <w:highlight w:val="none"/>
        </w:rPr>
        <w:drawing>
          <wp:inline distT="0" distB="0" distL="0" distR="0">
            <wp:extent cx="5586730" cy="7955280"/>
            <wp:effectExtent l="0" t="0" r="1270" b="7620"/>
            <wp:docPr id="13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 1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86983" cy="795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B851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21" w:lineRule="atLeast"/>
        <w:ind w:right="0" w:firstLine="640" w:firstLineChars="200"/>
        <w:jc w:val="both"/>
        <w:textAlignment w:val="auto"/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7</w:t>
      </w:r>
      <w:r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.指定在我报考点报考的在惠州市实习的实习生须上传（1）“中国高等教育学生信息网”的《教育部学籍在线验证报告》；（2）就读高校实习派出部门开具的派遣证明（惠州学院应往届生除外）；（3）所在实习管理部门开具的实习证明。</w:t>
      </w:r>
    </w:p>
    <w:p w14:paraId="06A4F29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21" w:lineRule="atLeast"/>
        <w:ind w:right="0" w:firstLine="640" w:firstLineChars="200"/>
        <w:jc w:val="both"/>
        <w:textAlignment w:val="auto"/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8</w:t>
      </w:r>
      <w:r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.非惠州市户籍的应届非全日制成人高校本科毕业生须提供（1）“中国高等教育学生信息网”的《教育部学籍在线验证报告》；（2）惠州市工作证明、惠州市工作合同、惠州市人社局网站打印的用人单位为其缴纳的社保证明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、惠州市有效居住证、2026年核发的《惠州市流动人口居住登记》回执或凭证，以上其中之一。</w:t>
      </w:r>
    </w:p>
    <w:p w14:paraId="72DAB93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21" w:lineRule="atLeast"/>
        <w:ind w:right="0"/>
        <w:jc w:val="both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drawing>
          <wp:inline distT="0" distB="0" distL="114300" distR="114300">
            <wp:extent cx="5267325" cy="1514475"/>
            <wp:effectExtent l="0" t="0" r="3175" b="9525"/>
            <wp:docPr id="5" name="图片 6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 descr="IMG_25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6782B2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21" w:lineRule="atLeast"/>
        <w:ind w:right="0" w:firstLine="640" w:firstLineChars="200"/>
        <w:jc w:val="both"/>
        <w:textAlignment w:val="auto"/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9</w:t>
      </w:r>
      <w:r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.非惠州市户籍未取得毕业证（202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7</w:t>
      </w:r>
      <w:r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年9月1日前取得）的高等教育自学考试本科考生须提供（1）惠州市工作证明、惠州市工作合同、惠州市人社局网站打印的用人单位为其缴纳的社保证明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、惠州市有效居住证、2026年核发的《惠州市流动人口居住登记》回执或凭证，以上其中之一</w:t>
      </w:r>
      <w:r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；（2）证明自考考生身份的材料：如准考证、成绩单等。</w:t>
      </w:r>
    </w:p>
    <w:p w14:paraId="1553CFE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21" w:lineRule="atLeast"/>
        <w:ind w:right="0" w:firstLine="640" w:firstLineChars="200"/>
        <w:jc w:val="both"/>
        <w:textAlignment w:val="auto"/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1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0</w:t>
      </w:r>
      <w:r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.非惠州市户籍的往届毕业生须提供（1）毕业证书（毕业证书丢失的提供“中国高等教育学生信息网”的《教育部学历证书电子注册备案表》或《中国高等教育学历认证报告》）；（2）惠州市工作证明、惠州市工作合同、惠州市人社局网站打印的用人单位为其缴纳的社保证明、惠州市有效居住证、2026年核发的《惠州市流动人口居住登记》回执或凭证，以上其中之一。</w:t>
      </w:r>
    </w:p>
    <w:p w14:paraId="2875040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300" w:line="252" w:lineRule="auto"/>
        <w:ind w:left="17" w:firstLine="641"/>
        <w:jc w:val="both"/>
        <w:textAlignment w:val="auto"/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1</w:t>
      </w:r>
      <w:r>
        <w:rPr>
          <w:rFonts w:hint="eastAsia" w:cs="仿宋"/>
          <w:color w:val="auto"/>
          <w:kern w:val="2"/>
          <w:sz w:val="32"/>
          <w:szCs w:val="32"/>
          <w:highlight w:val="none"/>
          <w:lang w:val="en-US" w:eastAsia="zh-CN" w:bidi="ar-SA"/>
        </w:rPr>
        <w:t>1</w:t>
      </w:r>
      <w:r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.在境外获得学历证书的考生除上述</w:t>
      </w:r>
      <w:r>
        <w:rPr>
          <w:rFonts w:hint="eastAsia" w:cs="仿宋"/>
          <w:color w:val="auto"/>
          <w:kern w:val="2"/>
          <w:sz w:val="32"/>
          <w:szCs w:val="32"/>
          <w:highlight w:val="none"/>
          <w:lang w:val="en-US" w:eastAsia="zh-CN" w:bidi="ar-SA"/>
        </w:rPr>
        <w:t>3</w:t>
      </w:r>
      <w:r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-1</w:t>
      </w:r>
      <w:r>
        <w:rPr>
          <w:rFonts w:hint="eastAsia" w:cs="仿宋"/>
          <w:color w:val="auto"/>
          <w:kern w:val="2"/>
          <w:sz w:val="32"/>
          <w:szCs w:val="32"/>
          <w:highlight w:val="none"/>
          <w:lang w:val="en-US" w:eastAsia="zh-CN" w:bidi="ar-SA"/>
        </w:rPr>
        <w:t>0</w:t>
      </w:r>
      <w:r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对应类别应该提交的材料外还</w:t>
      </w:r>
      <w:r>
        <w:rPr>
          <w:b w:val="0"/>
          <w:bCs w:val="0"/>
          <w:color w:val="auto"/>
          <w:spacing w:val="8"/>
          <w:highlight w:val="none"/>
        </w:rPr>
        <w:t>须上传</w:t>
      </w:r>
      <w:r>
        <w:rPr>
          <w:color w:val="auto"/>
          <w:spacing w:val="8"/>
          <w:highlight w:val="none"/>
        </w:rPr>
        <w:t>教育部留学服务中心颁发的《国外学历学</w:t>
      </w:r>
      <w:r>
        <w:rPr>
          <w:color w:val="auto"/>
          <w:spacing w:val="9"/>
          <w:highlight w:val="none"/>
        </w:rPr>
        <w:t>位认证书》或《香港、澳门特别行政区学历学位认证书》或《台湾地区学历学位认证书》。《境外（含香港、澳门、台</w:t>
      </w:r>
      <w:r>
        <w:rPr>
          <w:color w:val="auto"/>
          <w:spacing w:val="2"/>
          <w:highlight w:val="none"/>
        </w:rPr>
        <w:t>湾）学历学位认证书》的办理程序见</w:t>
      </w:r>
      <w:r>
        <w:rPr>
          <w:color w:val="auto"/>
          <w:spacing w:val="-65"/>
          <w:highlight w:val="none"/>
        </w:rPr>
        <w:t xml:space="preserve"> </w:t>
      </w:r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 HYPERLINK "http://zwfw.cscse.edu.cn/" </w:instrText>
      </w:r>
      <w:r>
        <w:rPr>
          <w:color w:val="auto"/>
          <w:highlight w:val="none"/>
        </w:rPr>
        <w:fldChar w:fldCharType="separate"/>
      </w:r>
      <w:r>
        <w:rPr>
          <w:rFonts w:ascii="Times New Roman" w:hAnsi="Times New Roman" w:eastAsia="Times New Roman" w:cs="Times New Roman"/>
          <w:color w:val="auto"/>
          <w:highlight w:val="none"/>
        </w:rPr>
        <w:t>http</w:t>
      </w:r>
      <w:r>
        <w:rPr>
          <w:rFonts w:ascii="Times New Roman" w:hAnsi="Times New Roman" w:eastAsia="Times New Roman" w:cs="Times New Roman"/>
          <w:color w:val="auto"/>
          <w:spacing w:val="2"/>
          <w:highlight w:val="none"/>
        </w:rPr>
        <w:t>://</w:t>
      </w:r>
      <w:r>
        <w:rPr>
          <w:rFonts w:ascii="Times New Roman" w:hAnsi="Times New Roman" w:eastAsia="Times New Roman" w:cs="Times New Roman"/>
          <w:color w:val="auto"/>
          <w:highlight w:val="none"/>
        </w:rPr>
        <w:t>zwfw</w:t>
      </w:r>
      <w:r>
        <w:rPr>
          <w:rFonts w:ascii="Times New Roman" w:hAnsi="Times New Roman" w:eastAsia="Times New Roman" w:cs="Times New Roman"/>
          <w:color w:val="auto"/>
          <w:spacing w:val="2"/>
          <w:highlight w:val="none"/>
        </w:rPr>
        <w:t>.</w:t>
      </w:r>
      <w:r>
        <w:rPr>
          <w:rFonts w:ascii="Times New Roman" w:hAnsi="Times New Roman" w:eastAsia="Times New Roman" w:cs="Times New Roman"/>
          <w:color w:val="auto"/>
          <w:highlight w:val="none"/>
        </w:rPr>
        <w:t>cscse</w:t>
      </w:r>
      <w:r>
        <w:rPr>
          <w:rFonts w:ascii="Times New Roman" w:hAnsi="Times New Roman" w:eastAsia="Times New Roman" w:cs="Times New Roman"/>
          <w:color w:val="auto"/>
          <w:spacing w:val="2"/>
          <w:highlight w:val="none"/>
        </w:rPr>
        <w:t>.</w:t>
      </w:r>
      <w:r>
        <w:rPr>
          <w:rFonts w:ascii="Times New Roman" w:hAnsi="Times New Roman" w:eastAsia="Times New Roman" w:cs="Times New Roman"/>
          <w:color w:val="auto"/>
          <w:highlight w:val="none"/>
        </w:rPr>
        <w:t>edu</w:t>
      </w:r>
      <w:r>
        <w:rPr>
          <w:rFonts w:ascii="Times New Roman" w:hAnsi="Times New Roman" w:eastAsia="Times New Roman" w:cs="Times New Roman"/>
          <w:color w:val="auto"/>
          <w:spacing w:val="2"/>
          <w:highlight w:val="none"/>
        </w:rPr>
        <w:t>.</w:t>
      </w:r>
      <w:r>
        <w:rPr>
          <w:rFonts w:ascii="Times New Roman" w:hAnsi="Times New Roman" w:eastAsia="Times New Roman" w:cs="Times New Roman"/>
          <w:color w:val="auto"/>
          <w:highlight w:val="none"/>
        </w:rPr>
        <w:t>cn</w:t>
      </w:r>
      <w:r>
        <w:rPr>
          <w:rFonts w:ascii="Times New Roman" w:hAnsi="Times New Roman" w:eastAsia="Times New Roman" w:cs="Times New Roman"/>
          <w:color w:val="auto"/>
          <w:spacing w:val="2"/>
          <w:highlight w:val="none"/>
        </w:rPr>
        <w:t>/</w:t>
      </w:r>
      <w:r>
        <w:rPr>
          <w:rFonts w:ascii="Times New Roman" w:hAnsi="Times New Roman" w:eastAsia="Times New Roman" w:cs="Times New Roman"/>
          <w:color w:val="auto"/>
          <w:spacing w:val="2"/>
          <w:highlight w:val="none"/>
        </w:rPr>
        <w:fldChar w:fldCharType="end"/>
      </w:r>
      <w:r>
        <w:rPr>
          <w:color w:val="auto"/>
          <w:spacing w:val="2"/>
          <w:highlight w:val="none"/>
        </w:rPr>
        <w:t>。</w:t>
      </w:r>
    </w:p>
    <w:p w14:paraId="02DBE23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 w:line="21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color w:val="auto"/>
          <w:position w:val="-191"/>
          <w:highlight w:val="none"/>
        </w:rPr>
        <w:drawing>
          <wp:inline distT="0" distB="0" distL="0" distR="0">
            <wp:extent cx="3218815" cy="4124325"/>
            <wp:effectExtent l="0" t="0" r="6985" b="3175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18815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DFEE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21" w:lineRule="atLeast"/>
        <w:ind w:left="0" w:right="0" w:firstLine="656" w:firstLineChars="200"/>
        <w:jc w:val="both"/>
        <w:textAlignment w:val="auto"/>
        <w:rPr>
          <w:rFonts w:hint="default" w:ascii="仿宋" w:hAnsi="仿宋" w:eastAsia="仿宋" w:cs="仿宋"/>
          <w:color w:val="auto"/>
          <w:spacing w:val="9"/>
          <w:kern w:val="2"/>
          <w:sz w:val="31"/>
          <w:szCs w:val="31"/>
          <w:highlight w:val="none"/>
          <w:lang w:val="en-US" w:eastAsia="en-US" w:bidi="ar-SA"/>
        </w:rPr>
      </w:pPr>
      <w:r>
        <w:rPr>
          <w:rFonts w:hint="default" w:ascii="仿宋" w:hAnsi="仿宋" w:eastAsia="仿宋" w:cs="仿宋"/>
          <w:color w:val="auto"/>
          <w:spacing w:val="9"/>
          <w:kern w:val="2"/>
          <w:sz w:val="31"/>
          <w:szCs w:val="31"/>
          <w:highlight w:val="none"/>
          <w:lang w:val="en-US" w:eastAsia="en-US" w:bidi="ar-SA"/>
        </w:rPr>
        <w:t>1</w:t>
      </w:r>
      <w:r>
        <w:rPr>
          <w:rFonts w:hint="eastAsia" w:ascii="仿宋" w:hAnsi="仿宋" w:eastAsia="仿宋" w:cs="仿宋"/>
          <w:color w:val="auto"/>
          <w:spacing w:val="9"/>
          <w:kern w:val="2"/>
          <w:sz w:val="31"/>
          <w:szCs w:val="31"/>
          <w:highlight w:val="none"/>
          <w:lang w:val="en-US" w:eastAsia="zh-CN" w:bidi="ar-SA"/>
        </w:rPr>
        <w:t>2</w:t>
      </w:r>
      <w:r>
        <w:rPr>
          <w:rFonts w:hint="default" w:ascii="仿宋" w:hAnsi="仿宋" w:eastAsia="仿宋" w:cs="仿宋"/>
          <w:color w:val="auto"/>
          <w:spacing w:val="9"/>
          <w:kern w:val="2"/>
          <w:sz w:val="31"/>
          <w:szCs w:val="31"/>
          <w:highlight w:val="none"/>
          <w:lang w:val="en-US" w:eastAsia="en-US" w:bidi="ar-SA"/>
        </w:rPr>
        <w:t>.报考“退役大学生士兵专项硕士研究生招生计划”的考生除上述</w:t>
      </w:r>
      <w:r>
        <w:rPr>
          <w:rFonts w:hint="eastAsia" w:ascii="仿宋" w:hAnsi="仿宋" w:eastAsia="仿宋" w:cs="仿宋"/>
          <w:color w:val="auto"/>
          <w:spacing w:val="9"/>
          <w:kern w:val="2"/>
          <w:sz w:val="31"/>
          <w:szCs w:val="31"/>
          <w:highlight w:val="none"/>
          <w:lang w:val="en-US" w:eastAsia="zh-CN" w:bidi="ar-SA"/>
        </w:rPr>
        <w:t>3</w:t>
      </w:r>
      <w:r>
        <w:rPr>
          <w:rFonts w:hint="default" w:ascii="仿宋" w:hAnsi="仿宋" w:eastAsia="仿宋" w:cs="仿宋"/>
          <w:color w:val="auto"/>
          <w:spacing w:val="9"/>
          <w:kern w:val="2"/>
          <w:sz w:val="31"/>
          <w:szCs w:val="31"/>
          <w:highlight w:val="none"/>
          <w:lang w:val="en-US" w:eastAsia="en-US" w:bidi="ar-SA"/>
        </w:rPr>
        <w:t>-1</w:t>
      </w:r>
      <w:r>
        <w:rPr>
          <w:rFonts w:hint="eastAsia" w:ascii="仿宋" w:hAnsi="仿宋" w:eastAsia="仿宋" w:cs="仿宋"/>
          <w:color w:val="auto"/>
          <w:spacing w:val="9"/>
          <w:kern w:val="2"/>
          <w:sz w:val="31"/>
          <w:szCs w:val="31"/>
          <w:highlight w:val="none"/>
          <w:lang w:val="en-US" w:eastAsia="zh-CN" w:bidi="ar-SA"/>
        </w:rPr>
        <w:t>0</w:t>
      </w:r>
      <w:r>
        <w:rPr>
          <w:rFonts w:hint="default" w:ascii="仿宋" w:hAnsi="仿宋" w:eastAsia="仿宋" w:cs="仿宋"/>
          <w:color w:val="auto"/>
          <w:spacing w:val="9"/>
          <w:kern w:val="2"/>
          <w:sz w:val="31"/>
          <w:szCs w:val="31"/>
          <w:highlight w:val="none"/>
          <w:lang w:val="en-US" w:eastAsia="en-US" w:bidi="ar-SA"/>
        </w:rPr>
        <w:t>对应类别应该提交的材料外，还须上传本人《入伍批准书》和《退出现役证》原件。</w:t>
      </w:r>
    </w:p>
    <w:p w14:paraId="59171C2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 w:line="21" w:lineRule="atLeast"/>
        <w:ind w:left="0" w:right="0" w:firstLine="0"/>
        <w:jc w:val="center"/>
        <w:rPr>
          <w:rFonts w:hint="default" w:ascii="fangsong_gb2312" w:hAnsi="fangsong_gb2312" w:eastAsia="fangsong_gb2312" w:cs="fangsong_gb2312"/>
          <w:i w:val="0"/>
          <w:iCs w:val="0"/>
          <w:caps w:val="0"/>
          <w:color w:val="auto"/>
          <w:spacing w:val="0"/>
          <w:sz w:val="24"/>
          <w:szCs w:val="24"/>
          <w:highlight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highlight w:val="none"/>
        </w:rPr>
        <w:drawing>
          <wp:inline distT="0" distB="0" distL="114300" distR="114300">
            <wp:extent cx="3220720" cy="3509645"/>
            <wp:effectExtent l="0" t="0" r="5080" b="8255"/>
            <wp:docPr id="7" name="图片 8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8" descr="IMG_26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20720" cy="35096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714AAD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 w:line="21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highlight w:val="none"/>
        </w:rPr>
        <w:drawing>
          <wp:inline distT="0" distB="0" distL="114300" distR="114300">
            <wp:extent cx="5272405" cy="3260090"/>
            <wp:effectExtent l="0" t="0" r="10795" b="3810"/>
            <wp:docPr id="9" name="图片 9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6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2600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86B71D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21" w:lineRule="atLeast"/>
        <w:ind w:left="0" w:right="0" w:firstLine="656" w:firstLineChars="200"/>
        <w:jc w:val="both"/>
        <w:textAlignment w:val="auto"/>
        <w:rPr>
          <w:rFonts w:hint="default" w:ascii="仿宋" w:hAnsi="仿宋" w:eastAsia="仿宋" w:cs="仿宋"/>
          <w:color w:val="auto"/>
          <w:spacing w:val="9"/>
          <w:kern w:val="2"/>
          <w:sz w:val="31"/>
          <w:szCs w:val="31"/>
          <w:highlight w:val="none"/>
          <w:lang w:val="en-US" w:eastAsia="en-US" w:bidi="ar-SA"/>
        </w:rPr>
      </w:pPr>
      <w:r>
        <w:rPr>
          <w:rFonts w:hint="default" w:ascii="仿宋" w:hAnsi="仿宋" w:eastAsia="仿宋" w:cs="仿宋"/>
          <w:color w:val="auto"/>
          <w:spacing w:val="9"/>
          <w:kern w:val="2"/>
          <w:sz w:val="31"/>
          <w:szCs w:val="31"/>
          <w:highlight w:val="none"/>
          <w:lang w:val="en-US" w:eastAsia="en-US" w:bidi="ar-SA"/>
        </w:rPr>
        <w:t>1</w:t>
      </w:r>
      <w:r>
        <w:rPr>
          <w:rFonts w:hint="eastAsia" w:ascii="仿宋" w:hAnsi="仿宋" w:eastAsia="仿宋" w:cs="仿宋"/>
          <w:color w:val="auto"/>
          <w:spacing w:val="9"/>
          <w:kern w:val="2"/>
          <w:sz w:val="31"/>
          <w:szCs w:val="31"/>
          <w:highlight w:val="none"/>
          <w:lang w:val="en-US" w:eastAsia="zh-CN" w:bidi="ar-SA"/>
        </w:rPr>
        <w:t>3</w:t>
      </w:r>
      <w:bookmarkStart w:id="0" w:name="_GoBack"/>
      <w:bookmarkEnd w:id="0"/>
      <w:r>
        <w:rPr>
          <w:rFonts w:hint="default" w:ascii="仿宋" w:hAnsi="仿宋" w:eastAsia="仿宋" w:cs="仿宋"/>
          <w:color w:val="auto"/>
          <w:spacing w:val="9"/>
          <w:kern w:val="2"/>
          <w:sz w:val="31"/>
          <w:szCs w:val="31"/>
          <w:highlight w:val="none"/>
          <w:lang w:val="en-US" w:eastAsia="en-US" w:bidi="ar-SA"/>
        </w:rPr>
        <w:t>.现役军人考生报考研究生考试还须上传（1）军人身份证件；（2）毕业证书（毕业证书丢失的提供“中国高等教育学生信息网”的《教育部学历证书电子注册备案表》或《中国高等教育学历认证报告》）。</w:t>
      </w:r>
    </w:p>
    <w:p w14:paraId="420F704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 w:line="21" w:lineRule="atLeast"/>
        <w:ind w:left="0" w:right="0" w:firstLine="0"/>
        <w:jc w:val="center"/>
        <w:rPr>
          <w:rFonts w:hint="default"/>
          <w:color w:val="auto"/>
          <w:position w:val="-152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highlight w:val="none"/>
        </w:rPr>
        <w:drawing>
          <wp:inline distT="0" distB="0" distL="114300" distR="114300">
            <wp:extent cx="4762500" cy="3571875"/>
            <wp:effectExtent l="0" t="0" r="0" b="9525"/>
            <wp:docPr id="11" name="图片 10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 descr="IMG_26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D6931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sectPr>
      <w:headerReference r:id="rId3" w:type="default"/>
      <w:footerReference r:id="rId4" w:type="default"/>
      <w:pgSz w:w="11905" w:h="16840"/>
      <w:pgMar w:top="1531" w:right="1474" w:bottom="1417" w:left="1587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BD29ABA-A71A-45C1-8086-31A1BA7D030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4A1E919-4058-40C9-A88D-E8E7E84620BB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CFE3CB8C-9193-47B7-8E7B-7031896CBCC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9AA0CE3C-CB74-42B3-9AEE-DA25A53A3C9E}"/>
  </w:font>
  <w:font w:name="fangsong_gb2312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671A6E87-66E6-4746-8EC9-78305E2FFE5A}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643EAB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8E02C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splitPgBreakAndParaMark/>
    <w:compatSetting w:name="compatibilityMode" w:uri="http://schemas.microsoft.com/office/word" w:val="12"/>
  </w:compat>
  <w:rsids>
    <w:rsidRoot w:val="00000000"/>
    <w:rsid w:val="011253ED"/>
    <w:rsid w:val="013D6444"/>
    <w:rsid w:val="01806B0D"/>
    <w:rsid w:val="05CE4D9D"/>
    <w:rsid w:val="05D709B3"/>
    <w:rsid w:val="082D0DDC"/>
    <w:rsid w:val="08C2594B"/>
    <w:rsid w:val="08E21B49"/>
    <w:rsid w:val="0B810E99"/>
    <w:rsid w:val="0D2E7A52"/>
    <w:rsid w:val="0E8F4578"/>
    <w:rsid w:val="1314149B"/>
    <w:rsid w:val="149C7998"/>
    <w:rsid w:val="186407CC"/>
    <w:rsid w:val="212A5757"/>
    <w:rsid w:val="23AD74CB"/>
    <w:rsid w:val="23EB3B50"/>
    <w:rsid w:val="25F4285C"/>
    <w:rsid w:val="26964247"/>
    <w:rsid w:val="27FF406E"/>
    <w:rsid w:val="285C6DCA"/>
    <w:rsid w:val="2AC641C2"/>
    <w:rsid w:val="2C1018B8"/>
    <w:rsid w:val="2C306384"/>
    <w:rsid w:val="2EB51C88"/>
    <w:rsid w:val="2EC456C9"/>
    <w:rsid w:val="2F6A001E"/>
    <w:rsid w:val="3502519D"/>
    <w:rsid w:val="355359F9"/>
    <w:rsid w:val="36AE1139"/>
    <w:rsid w:val="37604154"/>
    <w:rsid w:val="38E76203"/>
    <w:rsid w:val="396C7089"/>
    <w:rsid w:val="3B365BA1"/>
    <w:rsid w:val="3B37645F"/>
    <w:rsid w:val="3B903503"/>
    <w:rsid w:val="41E40104"/>
    <w:rsid w:val="436239D7"/>
    <w:rsid w:val="46F8008E"/>
    <w:rsid w:val="474B797A"/>
    <w:rsid w:val="482079BC"/>
    <w:rsid w:val="4C1B0BC7"/>
    <w:rsid w:val="4F1162B1"/>
    <w:rsid w:val="51FC4FF6"/>
    <w:rsid w:val="55DF2C65"/>
    <w:rsid w:val="55F44049"/>
    <w:rsid w:val="5EE017FC"/>
    <w:rsid w:val="601B4DC9"/>
    <w:rsid w:val="64D92461"/>
    <w:rsid w:val="65BB66FC"/>
    <w:rsid w:val="660202AA"/>
    <w:rsid w:val="660B53B0"/>
    <w:rsid w:val="666722EC"/>
    <w:rsid w:val="66817E91"/>
    <w:rsid w:val="6BD77BAE"/>
    <w:rsid w:val="6FA7614A"/>
    <w:rsid w:val="6FE56C72"/>
    <w:rsid w:val="729D1CD3"/>
    <w:rsid w:val="72BF7C4E"/>
    <w:rsid w:val="72CF410A"/>
    <w:rsid w:val="73D2575F"/>
    <w:rsid w:val="77976AA4"/>
    <w:rsid w:val="788D5D25"/>
    <w:rsid w:val="7B3138B1"/>
    <w:rsid w:val="7BE61DA8"/>
    <w:rsid w:val="7C0C1712"/>
    <w:rsid w:val="7F3948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jpeg"/><Relationship Id="rId14" Type="http://schemas.openxmlformats.org/officeDocument/2006/relationships/image" Target="media/image9.pn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2337</Words>
  <Characters>2498</Characters>
  <TotalTime>7</TotalTime>
  <ScaleCrop>false</ScaleCrop>
  <LinksUpToDate>false</LinksUpToDate>
  <CharactersWithSpaces>2499</CharactersWithSpaces>
  <Application>WPS Office_12.1.0.23125_F1E327BC-269C-435d-A152-05C5408002CA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2026-10-04T06:46:00Z</dcterms:created>
  <dc:creator>Apache POI</dc:creator>
  <cp:lastModifiedBy>魏红艳</cp:lastModifiedBy>
  <cp:lastPrinted>2026-10-08T09:55:00Z</cp:lastPrinted>
  <dcterms:modified xsi:type="dcterms:W3CDTF">2026-10-09T00:42:58Z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{"Label":"1","ContentProducer":"001191110102MACQD9K64010000","ProduceID":"7692700313006689239","ReservedCode1":"","ContentPropagator":"","PropagateID":"","ReservedCode2":""}</vt:lpwstr>
  </property>
  <property fmtid="{D5CDD505-2E9C-101B-9397-08002B2CF9AE}" pid="3" name="KSOTemplateDocerSaveRecord">
    <vt:lpwstr>eyJoZGlkIjoiNzczZjk4ZjY5MjA1MjI1YWM1ZWNlZjliZTNlOWM1ODMiLCJ1c2VySWQiOiIxNjMxNzU4NTMyIn0=</vt:lpwstr>
  </property>
  <property fmtid="{D5CDD505-2E9C-101B-9397-08002B2CF9AE}" pid="4" name="KSOProductBuildVer">
    <vt:lpwstr>2052-12.1.0.23125</vt:lpwstr>
  </property>
  <property fmtid="{D5CDD505-2E9C-101B-9397-08002B2CF9AE}" pid="5" name="ICV">
    <vt:lpwstr>11610202921045E394FDAB4FC8DB3A80_12</vt:lpwstr>
  </property>
</Properties>
</file>